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2369DEEC" w:rsidR="00D309CC" w:rsidRDefault="00D309CC" w:rsidP="00D46431">
      <w:pPr>
        <w:pStyle w:val="CH"/>
      </w:pPr>
      <w:bookmarkStart w:id="0" w:name="historyclause"/>
      <w:r w:rsidRPr="003C564B">
        <w:t>3GPP RAN</w:t>
      </w:r>
      <w:r w:rsidR="00CF20E3" w:rsidRPr="003C564B">
        <w:t xml:space="preserve"> </w:t>
      </w:r>
      <w:r w:rsidRPr="003C564B">
        <w:t>WG</w:t>
      </w:r>
      <w:r w:rsidR="003C564B" w:rsidRPr="003C564B">
        <w:t>4</w:t>
      </w:r>
      <w:r w:rsidRPr="003C564B">
        <w:t xml:space="preserve"> Meeting #</w:t>
      </w:r>
      <w:r w:rsidR="003C564B" w:rsidRPr="003C564B">
        <w:t>92</w:t>
      </w:r>
      <w:r w:rsidR="00243CCE">
        <w:t>bis</w:t>
      </w:r>
      <w:r>
        <w:tab/>
      </w:r>
      <w:r w:rsidR="00D46431">
        <w:tab/>
      </w:r>
      <w:r w:rsidR="0030681F" w:rsidRPr="0030681F">
        <w:t>R4-1911504</w:t>
      </w:r>
    </w:p>
    <w:p w14:paraId="50DC9730" w14:textId="698DDA80" w:rsidR="00D309CC" w:rsidRPr="00FD166F" w:rsidRDefault="00243CCE" w:rsidP="00D46431">
      <w:pPr>
        <w:pStyle w:val="CH"/>
        <w:tabs>
          <w:tab w:val="clear" w:pos="7920"/>
        </w:tabs>
        <w:rPr>
          <w:b w:val="0"/>
        </w:rPr>
      </w:pPr>
      <w:r>
        <w:t>Chongqing</w:t>
      </w:r>
      <w:r w:rsidR="00D309CC" w:rsidRPr="003C564B">
        <w:t xml:space="preserve">, </w:t>
      </w:r>
      <w:r>
        <w:t>China</w:t>
      </w:r>
      <w:r w:rsidR="00D309CC" w:rsidRPr="003C564B">
        <w:t xml:space="preserve">, </w:t>
      </w:r>
      <w:r w:rsidR="003C564B" w:rsidRPr="003C564B">
        <w:t>26-30th August 2019</w:t>
      </w:r>
      <w:r w:rsidR="00D46431">
        <w:tab/>
      </w:r>
    </w:p>
    <w:p w14:paraId="39A0EE25" w14:textId="77777777" w:rsidR="00D309CC" w:rsidRDefault="00D309CC" w:rsidP="00D309CC">
      <w:pPr>
        <w:tabs>
          <w:tab w:val="left" w:pos="2160"/>
        </w:tabs>
        <w:rPr>
          <w:rFonts w:ascii="Arial" w:hAnsi="Arial" w:cs="Arial"/>
          <w:b/>
        </w:rPr>
      </w:pPr>
    </w:p>
    <w:p w14:paraId="6DDCE159" w14:textId="60A09DC2" w:rsidR="00D309CC" w:rsidRPr="0008103A" w:rsidRDefault="00D309CC" w:rsidP="00D309CC">
      <w:pPr>
        <w:pStyle w:val="CH"/>
        <w:rPr>
          <w:b w:val="0"/>
        </w:rPr>
      </w:pPr>
      <w:r w:rsidRPr="0008103A">
        <w:t>Agenda item:</w:t>
      </w:r>
      <w:r>
        <w:tab/>
      </w:r>
      <w:r w:rsidR="00C02031">
        <w:t>8.3.2.1</w:t>
      </w:r>
    </w:p>
    <w:p w14:paraId="4DBE005A" w14:textId="77777777" w:rsidR="00D309CC" w:rsidRPr="0008103A" w:rsidRDefault="00D309CC" w:rsidP="00D309CC">
      <w:pPr>
        <w:pStyle w:val="CH"/>
        <w:rPr>
          <w:b w:val="0"/>
        </w:rPr>
      </w:pPr>
      <w:r>
        <w:t>Source:</w:t>
      </w:r>
      <w:r>
        <w:tab/>
        <w:t>Apple Inc.</w:t>
      </w:r>
    </w:p>
    <w:p w14:paraId="0D2061A1" w14:textId="14885EC0" w:rsidR="00D309CC" w:rsidRPr="00911948" w:rsidRDefault="00D309CC" w:rsidP="00911948">
      <w:pPr>
        <w:pStyle w:val="CH"/>
        <w:ind w:left="2268" w:hanging="2268"/>
        <w:rPr>
          <w:lang w:val="de-DE"/>
        </w:rPr>
      </w:pPr>
      <w:r w:rsidRPr="0008103A">
        <w:t>Title:</w:t>
      </w:r>
      <w:r w:rsidRPr="0008103A">
        <w:tab/>
      </w:r>
      <w:r w:rsidR="00911948" w:rsidRPr="00911948">
        <w:rPr>
          <w:lang w:val="en-US"/>
        </w:rPr>
        <w:t>Handover delay and interruption time for simultaneous Tx/Rx with the source and target cells</w:t>
      </w:r>
    </w:p>
    <w:p w14:paraId="052B1E0C" w14:textId="58956DE5" w:rsidR="00104BC6" w:rsidRDefault="00104BC6" w:rsidP="00D309CC">
      <w:pPr>
        <w:pStyle w:val="CH"/>
      </w:pPr>
      <w:r>
        <w:t>WI:</w:t>
      </w:r>
      <w:r>
        <w:tab/>
      </w:r>
      <w:bookmarkStart w:id="1" w:name="OLE_LINK4"/>
      <w:r w:rsidR="005E28D9" w:rsidRPr="005E28D9">
        <w:t>NR_Mob_enh-Core</w:t>
      </w:r>
      <w:bookmarkEnd w:id="1"/>
    </w:p>
    <w:p w14:paraId="6C6D1281" w14:textId="5872D1FD" w:rsidR="00104BC6" w:rsidRDefault="00104BC6" w:rsidP="00D309CC">
      <w:pPr>
        <w:pStyle w:val="CH"/>
        <w:rPr>
          <w:b w:val="0"/>
        </w:rPr>
      </w:pPr>
      <w:r w:rsidRPr="005E28D9">
        <w:t>Release:</w:t>
      </w:r>
      <w:r w:rsidRPr="005E28D9">
        <w:tab/>
        <w:t>Rel-</w:t>
      </w:r>
      <w:r w:rsidR="005E28D9" w:rsidRPr="005E28D9">
        <w:t>16</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52BEA8E6" w14:textId="77777777" w:rsidR="00243CCE" w:rsidRDefault="00F37DBA" w:rsidP="008E7986">
      <w:r>
        <w:t>LTE mobility enhancements, which were specified in Rel-14, introduced two features that aim at decreasing overall handover time: MBB and RACH-less</w:t>
      </w:r>
      <w:r w:rsidR="003E7753">
        <w:t xml:space="preserve">. </w:t>
      </w:r>
      <w:r>
        <w:t>As similar mobility enhancements are being considered now for NR in Rel-16</w:t>
      </w:r>
      <w:r w:rsidR="00A122EC">
        <w:t xml:space="preserve"> </w:t>
      </w:r>
      <w:r w:rsidR="00A122EC">
        <w:fldChar w:fldCharType="begin"/>
      </w:r>
      <w:r w:rsidR="00A122EC">
        <w:instrText xml:space="preserve"> REF _Ref16853152 \r \h </w:instrText>
      </w:r>
      <w:r w:rsidR="00A122EC">
        <w:fldChar w:fldCharType="separate"/>
      </w:r>
      <w:r w:rsidR="00A122EC">
        <w:t>[1]</w:t>
      </w:r>
      <w:r w:rsidR="00A122EC">
        <w:fldChar w:fldCharType="end"/>
      </w:r>
      <w:r>
        <w:t xml:space="preserve">, companies present further technical analysis on whether same design principles as in LTE would be applicable for NR or new solutions should be developed. </w:t>
      </w:r>
    </w:p>
    <w:p w14:paraId="06E92CC7" w14:textId="5629FF51" w:rsidR="008E7986" w:rsidRDefault="00976D69" w:rsidP="008E7986">
      <w:r>
        <w:t xml:space="preserve">Referring more specifically to the </w:t>
      </w:r>
      <w:r w:rsidR="00243CCE">
        <w:t>"make-before-break" feature, one of the open questions for the RAN WG4 RRM was how to devise new performance requirements for a UE supporting the corresponding mobility enhancements</w:t>
      </w:r>
      <w:r w:rsidR="00E72324">
        <w:t>.</w:t>
      </w:r>
      <w:r w:rsidR="00243CCE">
        <w:t xml:space="preserve"> Some discussions already took place during the RAN4#92bis meeting, but no conclusion was reached. In this discussion paper we present our further considerations referring to some decisions that were done for LTE Rel-14 enhancements.</w:t>
      </w:r>
      <w:r w:rsidR="00E72324" w:rsidRPr="00E72324">
        <w:t xml:space="preserve"> </w:t>
      </w:r>
    </w:p>
    <w:p w14:paraId="3A67921B" w14:textId="7CC4D514" w:rsidR="008E7986" w:rsidRDefault="008E7986" w:rsidP="008E7986">
      <w:pPr>
        <w:pStyle w:val="Heading1"/>
      </w:pPr>
      <w:r>
        <w:t>2</w:t>
      </w:r>
      <w:r>
        <w:tab/>
      </w:r>
      <w:r w:rsidR="00243CCE">
        <w:t>Handover delay and interruption time</w:t>
      </w:r>
      <w:r>
        <w:t xml:space="preserve"> </w:t>
      </w:r>
    </w:p>
    <w:p w14:paraId="2EFD8AD8" w14:textId="307238C6" w:rsidR="00243CCE" w:rsidRPr="00C0357E" w:rsidRDefault="00243CCE" w:rsidP="00243CCE">
      <w:pPr>
        <w:rPr>
          <w:rFonts w:cs="v4.2.0"/>
        </w:rPr>
      </w:pPr>
      <w:r>
        <w:t xml:space="preserve">Referring to TS 38.133, the handover delay procedure </w:t>
      </w:r>
      <w:r w:rsidR="009461E6">
        <w:t xml:space="preserve">comprises the RRC procedure delay and the interruption </w:t>
      </w:r>
      <w:r>
        <w:t xml:space="preserve">defined as </w:t>
      </w:r>
      <w:r w:rsidR="009461E6" w:rsidRPr="00C0357E">
        <w:rPr>
          <w:rFonts w:cs="v4.2.0"/>
        </w:rPr>
        <w:t>time between end of the last TTI containing the RRC command on the old PDSCH and the time the UE starts transmission of the new PRACH</w:t>
      </w:r>
      <w:r w:rsidR="009461E6" w:rsidRPr="00C0357E">
        <w:rPr>
          <w:rFonts w:eastAsia="MS Mincho" w:cs="v4.2.0"/>
        </w:rPr>
        <w:t>, excluding the RRC procedure delay</w:t>
      </w:r>
      <w:r w:rsidR="009461E6">
        <w:rPr>
          <w:rFonts w:cs="v4.2.0"/>
          <w:snapToGrid w:val="0"/>
        </w:rPr>
        <w:t>.</w:t>
      </w:r>
      <w:r w:rsidRPr="00C0357E">
        <w:rPr>
          <w:rFonts w:cs="v4.2.0"/>
        </w:rPr>
        <w:t xml:space="preserve"> </w:t>
      </w:r>
      <w:r w:rsidR="009461E6">
        <w:rPr>
          <w:rFonts w:cs="v4.2.0"/>
        </w:rPr>
        <w:t xml:space="preserve">Following the same line of reasoning as for the LTE Rel-14 MBB feature, there is no need to change the overall definition of the handover delay and the interruption time because the major principle remains the same. However, what RAN WG4 needs to devise further is the actual interruption which should be smaller when compared to the legacy baseline performance numbers. </w:t>
      </w:r>
    </w:p>
    <w:p w14:paraId="631F01E7" w14:textId="10C974C6" w:rsidR="009461E6" w:rsidRDefault="009461E6" w:rsidP="00BF3C3A">
      <w:pPr>
        <w:pStyle w:val="Observation"/>
      </w:pPr>
      <w:r>
        <w:t>Observation 1a:</w:t>
      </w:r>
      <w:r>
        <w:tab/>
        <w:t xml:space="preserve">The general framework for the handover delay and interruption time </w:t>
      </w:r>
      <w:r w:rsidR="00E55E9B">
        <w:t xml:space="preserve">definitions </w:t>
      </w:r>
      <w:r>
        <w:t>can remain the same.</w:t>
      </w:r>
    </w:p>
    <w:p w14:paraId="623FA7CC" w14:textId="0B4F1415" w:rsidR="009461E6" w:rsidRDefault="009461E6" w:rsidP="00BF3C3A">
      <w:pPr>
        <w:pStyle w:val="Observation"/>
      </w:pPr>
      <w:r>
        <w:t>Observation 1b:</w:t>
      </w:r>
      <w:r>
        <w:tab/>
        <w:t>RAN WG4 needs to devise further improved performance requirements for the interruption time.</w:t>
      </w:r>
    </w:p>
    <w:p w14:paraId="6B8A137D" w14:textId="266105F9" w:rsidR="009461E6" w:rsidRDefault="009461E6" w:rsidP="00E72324">
      <w:r>
        <w:t>The interruption time formula for NR takes different forms and values</w:t>
      </w:r>
      <w:r w:rsidR="00BF3C3A">
        <w:t xml:space="preserve"> depending on the FR1 or FR2 handover</w:t>
      </w:r>
      <w:r>
        <w:t>, which for the sake of brevity can be generalized by the following formula:</w:t>
      </w:r>
    </w:p>
    <w:p w14:paraId="6BC0C106" w14:textId="77777777" w:rsidR="00BF3C3A" w:rsidRPr="00C0357E" w:rsidRDefault="00BF3C3A" w:rsidP="00BF3C3A">
      <w:pPr>
        <w:pStyle w:val="EQ"/>
      </w:pPr>
      <w:r w:rsidRPr="00C0357E">
        <w:rPr>
          <w:rFonts w:cs="v4.2.0"/>
        </w:rPr>
        <w:t>T</w:t>
      </w:r>
      <w:r w:rsidRPr="00C0357E">
        <w:rPr>
          <w:rFonts w:cs="v4.2.0"/>
          <w:vertAlign w:val="subscript"/>
        </w:rPr>
        <w:t>interrupt</w:t>
      </w:r>
      <w:r w:rsidRPr="00C0357E">
        <w:t xml:space="preserve"> = T</w:t>
      </w:r>
      <w:r w:rsidRPr="00C0357E">
        <w:rPr>
          <w:vertAlign w:val="subscript"/>
        </w:rPr>
        <w:t>search</w:t>
      </w:r>
      <w:r w:rsidRPr="00C0357E">
        <w:t xml:space="preserve"> + T</w:t>
      </w:r>
      <w:r w:rsidRPr="00C0357E">
        <w:rPr>
          <w:vertAlign w:val="subscript"/>
        </w:rPr>
        <w:t>IU</w:t>
      </w:r>
      <w:r w:rsidRPr="00C0357E">
        <w:t xml:space="preserve"> + </w:t>
      </w:r>
      <w:r w:rsidRPr="00C0357E">
        <w:rPr>
          <w:lang w:eastAsia="zh-CN"/>
        </w:rPr>
        <w:t>T</w:t>
      </w:r>
      <w:r w:rsidRPr="00C0357E">
        <w:rPr>
          <w:vertAlign w:val="subscript"/>
          <w:lang w:eastAsia="zh-CN"/>
        </w:rPr>
        <w:t>processing</w:t>
      </w:r>
      <w:r w:rsidRPr="00C0357E">
        <w:rPr>
          <w:lang w:eastAsia="zh-CN"/>
        </w:rPr>
        <w:t>+ T</w:t>
      </w:r>
      <w:r w:rsidRPr="00C0357E">
        <w:rPr>
          <w:vertAlign w:val="subscript"/>
          <w:lang w:eastAsia="zh-CN"/>
        </w:rPr>
        <w:t>∆</w:t>
      </w:r>
      <w:r w:rsidRPr="00C0357E">
        <w:rPr>
          <w:lang w:eastAsia="zh-CN"/>
        </w:rPr>
        <w:t xml:space="preserve"> </w:t>
      </w:r>
      <w:r w:rsidRPr="00C0357E">
        <w:t>ms</w:t>
      </w:r>
    </w:p>
    <w:p w14:paraId="203D27E8" w14:textId="7DDEF4EF" w:rsidR="00BF3C3A" w:rsidRDefault="00BF3C3A" w:rsidP="00E72324">
      <w:r>
        <w:t xml:space="preserve">Where T_iu </w:t>
      </w:r>
      <w:r w:rsidRPr="00C0357E">
        <w:t xml:space="preserve">is the interruption uncertainty </w:t>
      </w:r>
      <w:r w:rsidRPr="00C0357E">
        <w:rPr>
          <w:lang w:eastAsia="zh-CN"/>
        </w:rPr>
        <w:t>in acquiring the first available PRACH occasion in the new cel</w:t>
      </w:r>
      <w:r>
        <w:rPr>
          <w:lang w:eastAsia="zh-CN"/>
        </w:rPr>
        <w:t xml:space="preserve">l, and </w:t>
      </w:r>
      <w:r>
        <w:t xml:space="preserve">T_processing can take different values ranging from 20 to 40ms. Referring back to LTE Rel-14 discussions, one of the fundamental assumptions that RAN WG4 needs to make is whether we assume 1Rx or 2Rx UE architecture. With the 2Rx UE architecture, a UE can always keep one chain associated with the serving cell while tuning to the target one thus theoretically achieving close to 0ms interruption time. At least for LTE Rel-14 mobility enhancements, the 1Rx UE architecture assumption was made resulting in the T_processing time of 5ms. </w:t>
      </w:r>
      <w:r w:rsidR="00BC3B6B">
        <w:t xml:space="preserve">And the main rational behind it was the fact that LTE mobility enhancements could be applied to UEs with lower capabilities, which cannot necessarily always tune two Rx chains to the same frequency. </w:t>
      </w:r>
      <w:r>
        <w:t xml:space="preserve">There were </w:t>
      </w:r>
      <w:r w:rsidR="00BC3B6B">
        <w:t>also</w:t>
      </w:r>
      <w:r>
        <w:t xml:space="preserve"> proposals to assume 2Rx UE architecture, with which T_processing could be 0..1ms.</w:t>
      </w:r>
      <w:r w:rsidR="00404C42">
        <w:t xml:space="preserve"> </w:t>
      </w:r>
      <w:r w:rsidR="00BC3B6B">
        <w:t>And, o</w:t>
      </w:r>
      <w:r w:rsidR="00404C42">
        <w:t>f course</w:t>
      </w:r>
      <w:r w:rsidR="00BC3B6B">
        <w:t>,</w:t>
      </w:r>
      <w:r w:rsidR="00404C42">
        <w:t xml:space="preserve"> LTE assumption for 1Rx UE architecture does not mean that a </w:t>
      </w:r>
      <w:r w:rsidR="00BC3B6B">
        <w:t xml:space="preserve">particular </w:t>
      </w:r>
      <w:r w:rsidR="00404C42">
        <w:t xml:space="preserve">UE </w:t>
      </w:r>
      <w:r w:rsidR="00BC3B6B">
        <w:t xml:space="preserve">implementation </w:t>
      </w:r>
      <w:r w:rsidR="00404C42">
        <w:t xml:space="preserve">cannot leverage 2 Rx chains thus achieving better performance than </w:t>
      </w:r>
    </w:p>
    <w:p w14:paraId="3AB28433" w14:textId="693A989F" w:rsidR="00E55E9B" w:rsidRDefault="00E55E9B" w:rsidP="00E55E9B">
      <w:pPr>
        <w:pStyle w:val="Observation"/>
      </w:pPr>
      <w:r>
        <w:t>Observation 2</w:t>
      </w:r>
      <w:r w:rsidR="00BC3B6B">
        <w:t>a</w:t>
      </w:r>
      <w:r>
        <w:t>:</w:t>
      </w:r>
      <w:r>
        <w:tab/>
        <w:t>With an assumption of 1Rx UE architecture, T_processing cannot be assumed to be close to 0ms (e.g. 5ms for the LTE Rel-1</w:t>
      </w:r>
      <w:r w:rsidR="00923D05">
        <w:t>4</w:t>
      </w:r>
      <w:r>
        <w:t xml:space="preserve"> MBB feature).</w:t>
      </w:r>
    </w:p>
    <w:p w14:paraId="53DA712E" w14:textId="2B9E94A0" w:rsidR="00BC3B6B" w:rsidRDefault="00BC3B6B" w:rsidP="00E55E9B">
      <w:pPr>
        <w:pStyle w:val="Observation"/>
      </w:pPr>
      <w:r>
        <w:lastRenderedPageBreak/>
        <w:t>Observation 2b:</w:t>
      </w:r>
      <w:r>
        <w:tab/>
        <w:t xml:space="preserve">On the other hand, 2Rx UE architecture would put a high requirement on the UE side since a UE will have to be able to tune 2 Rx chains to </w:t>
      </w:r>
      <w:r w:rsidR="00923D05">
        <w:t>(</w:t>
      </w:r>
      <w:r>
        <w:t>a</w:t>
      </w:r>
      <w:r w:rsidR="00923D05">
        <w:t>ny)</w:t>
      </w:r>
      <w:r>
        <w:t xml:space="preserve"> serving frequency.</w:t>
      </w:r>
    </w:p>
    <w:p w14:paraId="2443ED2A" w14:textId="3BD6BCDF" w:rsidR="00E72324" w:rsidRDefault="00923D05" w:rsidP="00E72324">
      <w:r>
        <w:t>Hence, we elaborate further on some aspects of the overall interruption time depending on whether 1Rx or 2Rx UE architecture is assumed:</w:t>
      </w:r>
    </w:p>
    <w:p w14:paraId="38187A73" w14:textId="40B90C3E" w:rsidR="00923D05" w:rsidRDefault="00AD577F" w:rsidP="00AD577F">
      <w:pPr>
        <w:pStyle w:val="B1"/>
      </w:pPr>
      <w:r>
        <w:t>-</w:t>
      </w:r>
      <w:r>
        <w:tab/>
      </w:r>
      <w:r w:rsidR="00923D05">
        <w:t xml:space="preserve">1Rx. Most likely we will not be able to assume that T_iu is equal to zero because a UE will not receive data (form a serving cell) while performing RACH procedure. Furthermore, </w:t>
      </w:r>
      <w:r>
        <w:t>T_processing time will be obviously larger than 0ms for the reasons explained above;</w:t>
      </w:r>
    </w:p>
    <w:p w14:paraId="220EFA07" w14:textId="24349EB1" w:rsidR="00AD577F" w:rsidRDefault="00AD577F" w:rsidP="00AD577F">
      <w:pPr>
        <w:pStyle w:val="B1"/>
      </w:pPr>
      <w:r>
        <w:t>-</w:t>
      </w:r>
      <w:r>
        <w:tab/>
        <w:t>2Rx. Since a UE can in principle receive data from both serving and the target cell, T_iu can be assumed (close to) 0ms because RACH procedure on the target cell should not interrupt data reception on the serving one. As for the T_processing time, activation of the Rx chain for target cell and deactivation of the Rx chain associated with the serving call could cause some interruptions</w:t>
      </w:r>
      <w:bookmarkStart w:id="2" w:name="_GoBack"/>
      <w:bookmarkEnd w:id="2"/>
      <w:r>
        <w:t xml:space="preserve">. </w:t>
      </w:r>
    </w:p>
    <w:p w14:paraId="62E2E073" w14:textId="64E1C9CF" w:rsidR="008E7986" w:rsidRDefault="008E7986" w:rsidP="008E7986"/>
    <w:p w14:paraId="5CE36CDC" w14:textId="77777777" w:rsidR="003F0222" w:rsidRDefault="003F0222" w:rsidP="003F0222">
      <w:pPr>
        <w:pStyle w:val="Proposal"/>
      </w:pPr>
      <w:bookmarkStart w:id="3" w:name="_Toc20916033"/>
      <w:bookmarkStart w:id="4" w:name="_Toc20916044"/>
      <w:bookmarkStart w:id="5" w:name="_Toc20916796"/>
      <w:r>
        <w:t>Proposal 1:</w:t>
      </w:r>
      <w:r>
        <w:tab/>
        <w:t>RAN WG4 should decide which UE architecture, 1Rx or 2Rx, should be assumed as a baseline to devise further performance requirements.</w:t>
      </w:r>
      <w:bookmarkEnd w:id="3"/>
      <w:bookmarkEnd w:id="4"/>
      <w:bookmarkEnd w:id="5"/>
      <w:r>
        <w:t xml:space="preserve"> </w:t>
      </w:r>
      <w:r w:rsidRPr="00E72324">
        <w:t xml:space="preserve"> </w:t>
      </w:r>
    </w:p>
    <w:p w14:paraId="4507F233" w14:textId="1DA083DA" w:rsidR="003F0222" w:rsidRDefault="003F0222" w:rsidP="003F0222">
      <w:pPr>
        <w:pStyle w:val="Proposal"/>
      </w:pPr>
      <w:bookmarkStart w:id="6" w:name="_Toc20916797"/>
      <w:r>
        <w:t>Proposal 2:</w:t>
      </w:r>
      <w:r>
        <w:tab/>
        <w:t>A choice for a particular UE architecture type should be done based on the realistic estimation of the final interruption time.</w:t>
      </w:r>
      <w:bookmarkEnd w:id="6"/>
      <w:r>
        <w:t xml:space="preserve"> </w:t>
      </w:r>
      <w:r w:rsidRPr="00E72324">
        <w:t xml:space="preserve"> </w:t>
      </w:r>
    </w:p>
    <w:p w14:paraId="34C99636" w14:textId="77777777" w:rsidR="008E7986" w:rsidRDefault="008E7986" w:rsidP="008E7986">
      <w:pPr>
        <w:pStyle w:val="Heading1"/>
      </w:pPr>
      <w:r>
        <w:t>3</w:t>
      </w:r>
      <w:r>
        <w:tab/>
        <w:t>Conclusions</w:t>
      </w:r>
    </w:p>
    <w:p w14:paraId="001A58A1" w14:textId="057C4D0C" w:rsidR="00E72324" w:rsidRDefault="00D47BC8" w:rsidP="00E72324">
      <w:r>
        <w:t xml:space="preserve">In this discussion paper we have presented our further considerations </w:t>
      </w:r>
      <w:r w:rsidR="00F015FB">
        <w:t>on the handover delay and the interruption time for a case when a UE maintains connection to both serving and the target cells. As presented in the paper, the overall framework can remain the same, but we need to revise further anticipated interruption time, which in turn depends heavily on the assumption of whether 1 or 2Rx chain UE architecture is assumed.</w:t>
      </w:r>
      <w:r w:rsidR="00C9162E">
        <w:t xml:space="preserve"> </w:t>
      </w:r>
      <w:r w:rsidR="00E72324" w:rsidRPr="00E72324">
        <w:t xml:space="preserve"> </w:t>
      </w:r>
    </w:p>
    <w:p w14:paraId="59D0D347" w14:textId="77777777" w:rsidR="003F0222" w:rsidRDefault="0062595A">
      <w:pPr>
        <w:pStyle w:val="TOC1"/>
        <w:rPr>
          <w:rFonts w:asciiTheme="minorHAnsi" w:eastAsiaTheme="minorEastAsia" w:hAnsiTheme="minorHAnsi" w:cstheme="minorBidi"/>
          <w:b w:val="0"/>
          <w:bCs w:val="0"/>
          <w:noProof/>
          <w:sz w:val="24"/>
          <w:szCs w:val="24"/>
          <w:lang w:val="de-DE" w:eastAsia="en-GB"/>
        </w:rPr>
      </w:pPr>
      <w:r>
        <w:rPr>
          <w:b w:val="0"/>
          <w:bCs w:val="0"/>
        </w:rPr>
        <w:fldChar w:fldCharType="begin"/>
      </w:r>
      <w:r>
        <w:rPr>
          <w:b w:val="0"/>
          <w:bCs w:val="0"/>
        </w:rPr>
        <w:instrText xml:space="preserve"> TOC \n \t "Proposal,1" </w:instrText>
      </w:r>
      <w:r>
        <w:rPr>
          <w:b w:val="0"/>
          <w:bCs w:val="0"/>
        </w:rPr>
        <w:fldChar w:fldCharType="separate"/>
      </w:r>
      <w:r w:rsidR="003F0222">
        <w:rPr>
          <w:noProof/>
        </w:rPr>
        <w:t>Proposal 1:</w:t>
      </w:r>
      <w:r w:rsidR="003F0222">
        <w:rPr>
          <w:rFonts w:asciiTheme="minorHAnsi" w:eastAsiaTheme="minorEastAsia" w:hAnsiTheme="minorHAnsi" w:cstheme="minorBidi"/>
          <w:b w:val="0"/>
          <w:bCs w:val="0"/>
          <w:noProof/>
          <w:sz w:val="24"/>
          <w:szCs w:val="24"/>
          <w:lang w:val="de-DE" w:eastAsia="en-GB"/>
        </w:rPr>
        <w:tab/>
      </w:r>
      <w:r w:rsidR="003F0222">
        <w:rPr>
          <w:noProof/>
        </w:rPr>
        <w:t>RAN WG4 should decide which UE architecture, 1Rx or 2Rx, should be assumed as a baseline to devise further performance requirements.</w:t>
      </w:r>
    </w:p>
    <w:p w14:paraId="3B46429B" w14:textId="77777777" w:rsidR="003F0222" w:rsidRDefault="003F0222">
      <w:pPr>
        <w:pStyle w:val="TOC1"/>
        <w:rPr>
          <w:rFonts w:asciiTheme="minorHAnsi" w:eastAsiaTheme="minorEastAsia" w:hAnsiTheme="minorHAnsi" w:cstheme="minorBidi"/>
          <w:b w:val="0"/>
          <w:bCs w:val="0"/>
          <w:noProof/>
          <w:sz w:val="24"/>
          <w:szCs w:val="24"/>
          <w:lang w:val="de-DE" w:eastAsia="en-GB"/>
        </w:rPr>
      </w:pPr>
      <w:r>
        <w:rPr>
          <w:noProof/>
        </w:rPr>
        <w:t>Proposal 2:</w:t>
      </w:r>
      <w:r>
        <w:rPr>
          <w:rFonts w:asciiTheme="minorHAnsi" w:eastAsiaTheme="minorEastAsia" w:hAnsiTheme="minorHAnsi" w:cstheme="minorBidi"/>
          <w:b w:val="0"/>
          <w:bCs w:val="0"/>
          <w:noProof/>
          <w:sz w:val="24"/>
          <w:szCs w:val="24"/>
          <w:lang w:val="de-DE" w:eastAsia="en-GB"/>
        </w:rPr>
        <w:tab/>
      </w:r>
      <w:r>
        <w:rPr>
          <w:noProof/>
        </w:rPr>
        <w:t>A choice for a particular UE architecture type should be done based on the realistic estimation of the final interruption time.</w:t>
      </w:r>
    </w:p>
    <w:p w14:paraId="05CC6F0A" w14:textId="1175F8CC" w:rsidR="005E69AE" w:rsidRDefault="0062595A" w:rsidP="003F0222">
      <w:r>
        <w:rPr>
          <w:b/>
          <w:bCs/>
        </w:rPr>
        <w:fldChar w:fldCharType="end"/>
      </w:r>
    </w:p>
    <w:p w14:paraId="4D133CD8" w14:textId="65A47436" w:rsidR="00276EE4" w:rsidRPr="003A0483" w:rsidRDefault="005E69AE" w:rsidP="0016425D">
      <w:pPr>
        <w:pStyle w:val="Heading1"/>
      </w:pPr>
      <w:r>
        <w:t>4</w:t>
      </w:r>
      <w:r>
        <w:tab/>
        <w:t>References</w:t>
      </w:r>
    </w:p>
    <w:p w14:paraId="10F9AFD8" w14:textId="1EE59DB6" w:rsidR="00A122EC" w:rsidRDefault="00A122EC" w:rsidP="00276EE4">
      <w:pPr>
        <w:pStyle w:val="EX"/>
      </w:pPr>
      <w:bookmarkStart w:id="7" w:name="_Ref16853152"/>
      <w:bookmarkStart w:id="8" w:name="_Ref16598639"/>
      <w:bookmarkStart w:id="9" w:name="_Ref13820109"/>
      <w:r w:rsidRPr="00A122EC">
        <w:t>RP-190489</w:t>
      </w:r>
      <w:r>
        <w:t>, "</w:t>
      </w:r>
      <w:r w:rsidRPr="00A122EC">
        <w:t>New WID: NR mobility enhancements</w:t>
      </w:r>
      <w:r>
        <w:t>", Intel Corp.</w:t>
      </w:r>
      <w:bookmarkEnd w:id="7"/>
      <w:r>
        <w:t xml:space="preserve"> </w:t>
      </w:r>
    </w:p>
    <w:bookmarkEnd w:id="0"/>
    <w:bookmarkEnd w:id="8"/>
    <w:bookmarkEnd w:id="9"/>
    <w:p w14:paraId="45EF6CBD" w14:textId="77777777" w:rsidR="00A122EC" w:rsidRDefault="00A122EC" w:rsidP="0030681F">
      <w:pPr>
        <w:pStyle w:val="EX"/>
        <w:numPr>
          <w:ilvl w:val="0"/>
          <w:numId w:val="0"/>
        </w:numPr>
      </w:pPr>
    </w:p>
    <w:sectPr w:rsidR="00A122EC" w:rsidSect="002C3F12">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7F454" w14:textId="77777777" w:rsidR="009D4014" w:rsidRDefault="009D4014">
      <w:r>
        <w:separator/>
      </w:r>
    </w:p>
  </w:endnote>
  <w:endnote w:type="continuationSeparator" w:id="0">
    <w:p w14:paraId="6C63FA14" w14:textId="77777777" w:rsidR="009D4014" w:rsidRDefault="009D4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27856" w14:textId="04064630" w:rsidR="00323040" w:rsidRDefault="00323040" w:rsidP="00323040">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B96FCD" w14:textId="77777777" w:rsidR="009D4014" w:rsidRDefault="009D4014">
      <w:r>
        <w:separator/>
      </w:r>
    </w:p>
  </w:footnote>
  <w:footnote w:type="continuationSeparator" w:id="0">
    <w:p w14:paraId="2C4372E1" w14:textId="77777777" w:rsidR="009D4014" w:rsidRDefault="009D40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A365D"/>
    <w:rsid w:val="000C47C3"/>
    <w:rsid w:val="000D58AB"/>
    <w:rsid w:val="000D5C50"/>
    <w:rsid w:val="000F76BA"/>
    <w:rsid w:val="00104BC6"/>
    <w:rsid w:val="00123684"/>
    <w:rsid w:val="00133525"/>
    <w:rsid w:val="0015771A"/>
    <w:rsid w:val="0016425D"/>
    <w:rsid w:val="001A4C42"/>
    <w:rsid w:val="001C21C3"/>
    <w:rsid w:val="001D02C2"/>
    <w:rsid w:val="001F021C"/>
    <w:rsid w:val="001F0C1D"/>
    <w:rsid w:val="001F1132"/>
    <w:rsid w:val="001F168B"/>
    <w:rsid w:val="001F55B7"/>
    <w:rsid w:val="002014D5"/>
    <w:rsid w:val="00212A5E"/>
    <w:rsid w:val="002347A2"/>
    <w:rsid w:val="00243CCE"/>
    <w:rsid w:val="00247926"/>
    <w:rsid w:val="002675F0"/>
    <w:rsid w:val="00276EE4"/>
    <w:rsid w:val="002A2CFF"/>
    <w:rsid w:val="002B6339"/>
    <w:rsid w:val="002C3F12"/>
    <w:rsid w:val="002E00EE"/>
    <w:rsid w:val="0030681F"/>
    <w:rsid w:val="003172DC"/>
    <w:rsid w:val="00323040"/>
    <w:rsid w:val="00332C5F"/>
    <w:rsid w:val="0035462D"/>
    <w:rsid w:val="003765B8"/>
    <w:rsid w:val="003A0483"/>
    <w:rsid w:val="003C3971"/>
    <w:rsid w:val="003C564B"/>
    <w:rsid w:val="003D077E"/>
    <w:rsid w:val="003D42BF"/>
    <w:rsid w:val="003E7753"/>
    <w:rsid w:val="003F0222"/>
    <w:rsid w:val="003F7D4B"/>
    <w:rsid w:val="00404C42"/>
    <w:rsid w:val="00423334"/>
    <w:rsid w:val="004345EC"/>
    <w:rsid w:val="0046275E"/>
    <w:rsid w:val="004826A9"/>
    <w:rsid w:val="004C1601"/>
    <w:rsid w:val="004D3578"/>
    <w:rsid w:val="004E213A"/>
    <w:rsid w:val="004F0988"/>
    <w:rsid w:val="004F3340"/>
    <w:rsid w:val="004F3E3D"/>
    <w:rsid w:val="0053388B"/>
    <w:rsid w:val="00535773"/>
    <w:rsid w:val="00543E6C"/>
    <w:rsid w:val="0054458C"/>
    <w:rsid w:val="00565087"/>
    <w:rsid w:val="005651D4"/>
    <w:rsid w:val="00572E14"/>
    <w:rsid w:val="005973BE"/>
    <w:rsid w:val="005A5986"/>
    <w:rsid w:val="005D2E01"/>
    <w:rsid w:val="005D4F5A"/>
    <w:rsid w:val="005D7526"/>
    <w:rsid w:val="005E28D9"/>
    <w:rsid w:val="005E69AE"/>
    <w:rsid w:val="00602AEA"/>
    <w:rsid w:val="00607E3C"/>
    <w:rsid w:val="00614FDF"/>
    <w:rsid w:val="006246A7"/>
    <w:rsid w:val="0062595A"/>
    <w:rsid w:val="0063420C"/>
    <w:rsid w:val="0063543D"/>
    <w:rsid w:val="00647114"/>
    <w:rsid w:val="00650A56"/>
    <w:rsid w:val="006602CD"/>
    <w:rsid w:val="0068370B"/>
    <w:rsid w:val="006A323F"/>
    <w:rsid w:val="006A79EB"/>
    <w:rsid w:val="006B30D0"/>
    <w:rsid w:val="006C3D95"/>
    <w:rsid w:val="006E5C86"/>
    <w:rsid w:val="00713C44"/>
    <w:rsid w:val="00734A5B"/>
    <w:rsid w:val="0074026F"/>
    <w:rsid w:val="007429F6"/>
    <w:rsid w:val="00744E76"/>
    <w:rsid w:val="00752198"/>
    <w:rsid w:val="00753881"/>
    <w:rsid w:val="007614A0"/>
    <w:rsid w:val="00774DA4"/>
    <w:rsid w:val="00781F0F"/>
    <w:rsid w:val="0078318F"/>
    <w:rsid w:val="00787AA0"/>
    <w:rsid w:val="007B600E"/>
    <w:rsid w:val="007B6765"/>
    <w:rsid w:val="007F0F4A"/>
    <w:rsid w:val="008028A4"/>
    <w:rsid w:val="00820B25"/>
    <w:rsid w:val="00830747"/>
    <w:rsid w:val="008768CA"/>
    <w:rsid w:val="008C384C"/>
    <w:rsid w:val="008E7986"/>
    <w:rsid w:val="0090271F"/>
    <w:rsid w:val="00902E23"/>
    <w:rsid w:val="009114D7"/>
    <w:rsid w:val="00911948"/>
    <w:rsid w:val="0091348E"/>
    <w:rsid w:val="00917CCB"/>
    <w:rsid w:val="00923D05"/>
    <w:rsid w:val="00942EC2"/>
    <w:rsid w:val="009461E6"/>
    <w:rsid w:val="00976D69"/>
    <w:rsid w:val="009D4014"/>
    <w:rsid w:val="009F37B7"/>
    <w:rsid w:val="009F5E43"/>
    <w:rsid w:val="00A10F02"/>
    <w:rsid w:val="00A122EC"/>
    <w:rsid w:val="00A164B4"/>
    <w:rsid w:val="00A26956"/>
    <w:rsid w:val="00A53724"/>
    <w:rsid w:val="00A73129"/>
    <w:rsid w:val="00A82346"/>
    <w:rsid w:val="00A92BA1"/>
    <w:rsid w:val="00AC6BC6"/>
    <w:rsid w:val="00AD577F"/>
    <w:rsid w:val="00AE3797"/>
    <w:rsid w:val="00B15449"/>
    <w:rsid w:val="00B22FC4"/>
    <w:rsid w:val="00B74630"/>
    <w:rsid w:val="00B93086"/>
    <w:rsid w:val="00BA19ED"/>
    <w:rsid w:val="00BA300B"/>
    <w:rsid w:val="00BA4B8D"/>
    <w:rsid w:val="00BB671F"/>
    <w:rsid w:val="00BC0F7D"/>
    <w:rsid w:val="00BC3B6B"/>
    <w:rsid w:val="00BC6E66"/>
    <w:rsid w:val="00BE3255"/>
    <w:rsid w:val="00BF128E"/>
    <w:rsid w:val="00BF3C3A"/>
    <w:rsid w:val="00C02031"/>
    <w:rsid w:val="00C1496A"/>
    <w:rsid w:val="00C24A67"/>
    <w:rsid w:val="00C33079"/>
    <w:rsid w:val="00C45231"/>
    <w:rsid w:val="00C72833"/>
    <w:rsid w:val="00C80F1D"/>
    <w:rsid w:val="00C9162E"/>
    <w:rsid w:val="00C93F40"/>
    <w:rsid w:val="00CA3D0C"/>
    <w:rsid w:val="00CA3F47"/>
    <w:rsid w:val="00CF20E3"/>
    <w:rsid w:val="00D309CC"/>
    <w:rsid w:val="00D46431"/>
    <w:rsid w:val="00D47BC8"/>
    <w:rsid w:val="00D56A52"/>
    <w:rsid w:val="00D57972"/>
    <w:rsid w:val="00D65E67"/>
    <w:rsid w:val="00D675A9"/>
    <w:rsid w:val="00D738D6"/>
    <w:rsid w:val="00D755EB"/>
    <w:rsid w:val="00D87E00"/>
    <w:rsid w:val="00D9134D"/>
    <w:rsid w:val="00DA7A03"/>
    <w:rsid w:val="00DB1818"/>
    <w:rsid w:val="00DC309B"/>
    <w:rsid w:val="00DC4DA2"/>
    <w:rsid w:val="00DD4C17"/>
    <w:rsid w:val="00DF2B1F"/>
    <w:rsid w:val="00DF6189"/>
    <w:rsid w:val="00DF62CD"/>
    <w:rsid w:val="00E00293"/>
    <w:rsid w:val="00E16509"/>
    <w:rsid w:val="00E226D4"/>
    <w:rsid w:val="00E44582"/>
    <w:rsid w:val="00E50039"/>
    <w:rsid w:val="00E52814"/>
    <w:rsid w:val="00E55E9B"/>
    <w:rsid w:val="00E72324"/>
    <w:rsid w:val="00E72ABE"/>
    <w:rsid w:val="00E77645"/>
    <w:rsid w:val="00EC4A25"/>
    <w:rsid w:val="00EE5AA7"/>
    <w:rsid w:val="00F015FB"/>
    <w:rsid w:val="00F025A2"/>
    <w:rsid w:val="00F04712"/>
    <w:rsid w:val="00F21311"/>
    <w:rsid w:val="00F22EC7"/>
    <w:rsid w:val="00F325C8"/>
    <w:rsid w:val="00F37DBA"/>
    <w:rsid w:val="00F62AEB"/>
    <w:rsid w:val="00F653B8"/>
    <w:rsid w:val="00F7064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EQChar">
    <w:name w:val="EQ Char"/>
    <w:link w:val="EQ"/>
    <w:locked/>
    <w:rsid w:val="00BF3C3A"/>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2018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06599-19CE-CA43-8DC5-CA0F04B8F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58</TotalTime>
  <Pages>2</Pages>
  <Words>848</Words>
  <Characters>4838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5675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10</cp:revision>
  <cp:lastPrinted>2019-02-25T14:05:00Z</cp:lastPrinted>
  <dcterms:created xsi:type="dcterms:W3CDTF">2019-10-02T10:35:00Z</dcterms:created>
  <dcterms:modified xsi:type="dcterms:W3CDTF">2019-10-04T19:37:00Z</dcterms:modified>
  <cp:category/>
</cp:coreProperties>
</file>